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6414FE" w14:textId="2CD3DE12" w:rsidR="00D26A74" w:rsidRDefault="00D26A74" w:rsidP="00D26A74">
      <w:pPr>
        <w:jc w:val="right"/>
        <w:rPr>
          <w:b/>
          <w:bCs/>
        </w:rPr>
      </w:pPr>
      <w:r>
        <w:rPr>
          <w:noProof/>
          <w:lang w:eastAsia="de-DE"/>
        </w:rPr>
        <w:drawing>
          <wp:inline distT="0" distB="0" distL="0" distR="0" wp14:anchorId="56FB318E" wp14:editId="7DA8E654">
            <wp:extent cx="1912620" cy="441960"/>
            <wp:effectExtent l="0" t="0" r="0" b="0"/>
            <wp:docPr id="1" name="Grafik 1" descr="Beschreibung: cid:image001.png@01D1ED77.D5010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cid:image001.png@01D1ED77.D501050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912620" cy="441960"/>
                    </a:xfrm>
                    <a:prstGeom prst="rect">
                      <a:avLst/>
                    </a:prstGeom>
                    <a:noFill/>
                    <a:ln>
                      <a:noFill/>
                    </a:ln>
                  </pic:spPr>
                </pic:pic>
              </a:graphicData>
            </a:graphic>
          </wp:inline>
        </w:drawing>
      </w:r>
    </w:p>
    <w:p w14:paraId="6355CC68" w14:textId="77777777" w:rsidR="00D26A74" w:rsidRPr="00D26A74" w:rsidRDefault="00D26A74" w:rsidP="00D26A74">
      <w:pPr>
        <w:spacing w:after="0" w:line="360" w:lineRule="auto"/>
        <w:jc w:val="both"/>
        <w:rPr>
          <w:rFonts w:ascii="Arial" w:hAnsi="Arial" w:cs="Arial"/>
          <w:b/>
          <w:bCs/>
        </w:rPr>
      </w:pPr>
    </w:p>
    <w:p w14:paraId="70B501F8" w14:textId="7B69E646" w:rsidR="0058463D" w:rsidRPr="00D26A74" w:rsidRDefault="0058463D" w:rsidP="00D26A74">
      <w:pPr>
        <w:spacing w:after="0" w:line="360" w:lineRule="auto"/>
        <w:jc w:val="both"/>
        <w:rPr>
          <w:rFonts w:ascii="Arial" w:hAnsi="Arial" w:cs="Arial"/>
          <w:b/>
          <w:bCs/>
        </w:rPr>
      </w:pPr>
      <w:r w:rsidRPr="00D26A74">
        <w:rPr>
          <w:rFonts w:ascii="Arial" w:hAnsi="Arial" w:cs="Arial"/>
          <w:b/>
          <w:bCs/>
        </w:rPr>
        <w:t>Der BGH hat mit zwei Entscheidungen</w:t>
      </w:r>
      <w:r w:rsidR="00A975BA" w:rsidRPr="00D26A74">
        <w:rPr>
          <w:rFonts w:ascii="Arial" w:hAnsi="Arial" w:cs="Arial"/>
          <w:b/>
          <w:bCs/>
        </w:rPr>
        <w:t xml:space="preserve"> vom 27.11.2019</w:t>
      </w:r>
      <w:r w:rsidR="00BD0E9F" w:rsidRPr="00D26A74">
        <w:rPr>
          <w:rFonts w:ascii="Arial" w:hAnsi="Arial" w:cs="Arial"/>
          <w:b/>
          <w:bCs/>
        </w:rPr>
        <w:t xml:space="preserve"> sich zum Aufenthaltsbestimmungsrecht</w:t>
      </w:r>
      <w:r w:rsidR="009218AE" w:rsidRPr="00D26A74">
        <w:rPr>
          <w:rFonts w:ascii="Arial" w:hAnsi="Arial" w:cs="Arial"/>
          <w:b/>
          <w:bCs/>
        </w:rPr>
        <w:t xml:space="preserve">, der Beachtlichkeit des Kindeswillens einerseits sowie </w:t>
      </w:r>
      <w:r w:rsidR="0007580E" w:rsidRPr="00D26A74">
        <w:rPr>
          <w:rFonts w:ascii="Arial" w:hAnsi="Arial" w:cs="Arial"/>
          <w:b/>
          <w:bCs/>
        </w:rPr>
        <w:t xml:space="preserve">zum Wechselmodell andererseits </w:t>
      </w:r>
      <w:r w:rsidR="00881793" w:rsidRPr="00D26A74">
        <w:rPr>
          <w:rFonts w:ascii="Arial" w:hAnsi="Arial" w:cs="Arial"/>
          <w:b/>
          <w:bCs/>
        </w:rPr>
        <w:t>eindeutig geäußert.</w:t>
      </w:r>
    </w:p>
    <w:p w14:paraId="48F033D4" w14:textId="77777777" w:rsidR="0058463D" w:rsidRDefault="0058463D" w:rsidP="00D26A74">
      <w:pPr>
        <w:spacing w:after="0" w:line="360" w:lineRule="auto"/>
        <w:jc w:val="both"/>
        <w:rPr>
          <w:rFonts w:ascii="Arial" w:hAnsi="Arial" w:cs="Arial"/>
          <w:bCs/>
        </w:rPr>
      </w:pPr>
    </w:p>
    <w:p w14:paraId="6DB89D6B" w14:textId="77777777" w:rsidR="00D26A74" w:rsidRDefault="00D26A74" w:rsidP="00D26A74">
      <w:pPr>
        <w:spacing w:after="0" w:line="360" w:lineRule="auto"/>
        <w:rPr>
          <w:rFonts w:ascii="Arial" w:hAnsi="Arial" w:cs="Arial"/>
          <w:szCs w:val="20"/>
        </w:rPr>
      </w:pPr>
      <w:r w:rsidRPr="00A43778">
        <w:rPr>
          <w:rFonts w:ascii="Arial" w:hAnsi="Arial" w:cs="Arial"/>
          <w:szCs w:val="20"/>
        </w:rPr>
        <w:t>ein Artikel von Rechtsanwältin, Fachanwältin für Familienrecht und Fachanwältin für Bau- und Architektenrecht, Helene-Monika Filiz</w:t>
      </w:r>
      <w:r>
        <w:rPr>
          <w:rFonts w:ascii="Arial" w:hAnsi="Arial" w:cs="Arial"/>
          <w:sz w:val="20"/>
          <w:szCs w:val="20"/>
        </w:rPr>
        <w:t xml:space="preserve">, </w:t>
      </w:r>
      <w:r w:rsidRPr="00A43778">
        <w:rPr>
          <w:rFonts w:ascii="Arial" w:hAnsi="Arial" w:cs="Arial"/>
          <w:szCs w:val="20"/>
        </w:rPr>
        <w:t>Frankfurt am Main</w:t>
      </w:r>
    </w:p>
    <w:p w14:paraId="748CFFD2" w14:textId="77777777" w:rsidR="00D26A74" w:rsidRDefault="00D26A74" w:rsidP="00D26A74">
      <w:pPr>
        <w:spacing w:after="0" w:line="360" w:lineRule="auto"/>
        <w:jc w:val="both"/>
        <w:rPr>
          <w:rFonts w:ascii="Arial" w:hAnsi="Arial" w:cs="Arial"/>
          <w:bCs/>
        </w:rPr>
      </w:pPr>
    </w:p>
    <w:p w14:paraId="603F0BE8" w14:textId="77777777" w:rsidR="00D26A74" w:rsidRPr="00D26A74" w:rsidRDefault="00D26A74" w:rsidP="00D26A74">
      <w:pPr>
        <w:spacing w:after="0" w:line="360" w:lineRule="auto"/>
        <w:jc w:val="both"/>
        <w:rPr>
          <w:rFonts w:ascii="Arial" w:hAnsi="Arial" w:cs="Arial"/>
          <w:bCs/>
        </w:rPr>
      </w:pPr>
    </w:p>
    <w:p w14:paraId="55074552" w14:textId="567B1174" w:rsidR="00A02A80" w:rsidRPr="00D26A74" w:rsidRDefault="00A02A80" w:rsidP="00D26A74">
      <w:pPr>
        <w:pStyle w:val="Listenabsatz"/>
        <w:numPr>
          <w:ilvl w:val="0"/>
          <w:numId w:val="1"/>
        </w:numPr>
        <w:spacing w:after="0" w:line="360" w:lineRule="auto"/>
        <w:ind w:hanging="720"/>
        <w:jc w:val="both"/>
        <w:rPr>
          <w:rFonts w:ascii="Arial" w:hAnsi="Arial" w:cs="Arial"/>
          <w:b/>
          <w:bCs/>
        </w:rPr>
      </w:pPr>
      <w:r w:rsidRPr="00D26A74">
        <w:rPr>
          <w:rFonts w:ascii="Arial" w:hAnsi="Arial" w:cs="Arial"/>
          <w:b/>
          <w:bCs/>
        </w:rPr>
        <w:t>BGH Beschluss vom 27.11.2019 – XII ZB 511/18 – Vorinstanzen, OLG Frankfurt am Main, AG Bad Schwalbach</w:t>
      </w:r>
    </w:p>
    <w:p w14:paraId="12FB341B" w14:textId="77777777" w:rsidR="00A02A80" w:rsidRPr="00D26A74" w:rsidRDefault="00A02A80" w:rsidP="00D26A74">
      <w:pPr>
        <w:spacing w:after="0" w:line="360" w:lineRule="auto"/>
        <w:jc w:val="both"/>
        <w:rPr>
          <w:rFonts w:ascii="Arial" w:hAnsi="Arial" w:cs="Arial"/>
        </w:rPr>
      </w:pPr>
    </w:p>
    <w:p w14:paraId="4BCFD953" w14:textId="6C1BD46B" w:rsidR="00A02A80" w:rsidRDefault="00A02A80" w:rsidP="00D26A74">
      <w:pPr>
        <w:spacing w:after="0" w:line="360" w:lineRule="auto"/>
        <w:jc w:val="both"/>
        <w:rPr>
          <w:rFonts w:ascii="Arial" w:hAnsi="Arial" w:cs="Arial"/>
        </w:rPr>
      </w:pPr>
      <w:r w:rsidRPr="00D26A74">
        <w:rPr>
          <w:rFonts w:ascii="Arial" w:hAnsi="Arial" w:cs="Arial"/>
        </w:rPr>
        <w:t xml:space="preserve">Die Abänderung einer Übertragung des Aufenthaltsbestimmungsrechts auf einen Elternteil ist trotz eines auf den Wechsel in den Haushalt des anderen Elternteils gerichteten Kindeswillens nicht gerechtfertigt, wenn der Kindeswille nicht autonom gebildet ist und sonstige Belange des </w:t>
      </w:r>
      <w:r w:rsidR="00D26A74" w:rsidRPr="00D26A74">
        <w:rPr>
          <w:rFonts w:ascii="Arial" w:hAnsi="Arial" w:cs="Arial"/>
        </w:rPr>
        <w:t>Kindeswohls</w:t>
      </w:r>
      <w:r w:rsidRPr="00D26A74">
        <w:rPr>
          <w:rFonts w:ascii="Arial" w:hAnsi="Arial" w:cs="Arial"/>
        </w:rPr>
        <w:t xml:space="preserve"> entgegenstehen. </w:t>
      </w:r>
    </w:p>
    <w:p w14:paraId="5E7BFF6A" w14:textId="77777777" w:rsidR="00D26A74" w:rsidRPr="00D26A74" w:rsidRDefault="00D26A74" w:rsidP="00D26A74">
      <w:pPr>
        <w:spacing w:after="0" w:line="360" w:lineRule="auto"/>
        <w:jc w:val="both"/>
        <w:rPr>
          <w:rFonts w:ascii="Arial" w:hAnsi="Arial" w:cs="Arial"/>
        </w:rPr>
      </w:pPr>
    </w:p>
    <w:p w14:paraId="163415B7" w14:textId="56EBDABC" w:rsidR="00A02A80" w:rsidRDefault="00A02A80" w:rsidP="00D26A74">
      <w:pPr>
        <w:spacing w:after="0" w:line="360" w:lineRule="auto"/>
        <w:jc w:val="both"/>
        <w:rPr>
          <w:rFonts w:ascii="Arial" w:hAnsi="Arial" w:cs="Arial"/>
        </w:rPr>
      </w:pPr>
      <w:r w:rsidRPr="00D26A74">
        <w:rPr>
          <w:rFonts w:ascii="Arial" w:hAnsi="Arial" w:cs="Arial"/>
        </w:rPr>
        <w:t xml:space="preserve">Der BGH stellt ausdrücklich klar, dass der Kindeswille nur einen von mehreren Aspekten für den übergeordneten Entscheidungsmaßstab </w:t>
      </w:r>
      <w:r w:rsidR="00D26A74" w:rsidRPr="00D26A74">
        <w:rPr>
          <w:rFonts w:ascii="Arial" w:hAnsi="Arial" w:cs="Arial"/>
        </w:rPr>
        <w:t>des Kindeswohls</w:t>
      </w:r>
      <w:r w:rsidRPr="00D26A74">
        <w:rPr>
          <w:rFonts w:ascii="Arial" w:hAnsi="Arial" w:cs="Arial"/>
        </w:rPr>
        <w:t xml:space="preserve"> darstellt. </w:t>
      </w:r>
    </w:p>
    <w:p w14:paraId="560274ED" w14:textId="77777777" w:rsidR="00D26A74" w:rsidRPr="00D26A74" w:rsidRDefault="00D26A74" w:rsidP="00D26A74">
      <w:pPr>
        <w:spacing w:after="0" w:line="360" w:lineRule="auto"/>
        <w:jc w:val="both"/>
        <w:rPr>
          <w:rFonts w:ascii="Arial" w:hAnsi="Arial" w:cs="Arial"/>
        </w:rPr>
      </w:pPr>
    </w:p>
    <w:p w14:paraId="79DE5305" w14:textId="460823DA" w:rsidR="00A02A80" w:rsidRDefault="00A02A80" w:rsidP="00D26A74">
      <w:pPr>
        <w:spacing w:after="0" w:line="360" w:lineRule="auto"/>
        <w:jc w:val="both"/>
        <w:rPr>
          <w:rFonts w:ascii="Arial" w:hAnsi="Arial" w:cs="Arial"/>
        </w:rPr>
      </w:pPr>
      <w:r w:rsidRPr="00D26A74">
        <w:rPr>
          <w:rFonts w:ascii="Arial" w:hAnsi="Arial" w:cs="Arial"/>
        </w:rPr>
        <w:t>Da familiengerichtliche Entscheidungen maßgeblichen Einfluss auf das Leben eines Kindes nähmen und es damit unmittelbar betroffen sei, sei das Kind bei jeder Entscheidung in seiner Individualität und mit seinem Willen einzubeziehen, was mit zunehmendem Alter und zunehmender Einsichtsfähigkeit des Kindes an Bedeutung gewinne. Nur soll könne es sich zu einer eigenverantwortlichen und gemeinschaftsfähigen Person entwickeln, wobei der Kindeswille die Bindung zu einem Elternteil zum Ausdruck bringe und darüber hinaus einen Akt der Selbstbestimmung darstelle. Insoweit seien an den Kindeswillen Mindestanforderungen wie Zielorienti</w:t>
      </w:r>
      <w:r w:rsidR="00894235" w:rsidRPr="00D26A74">
        <w:rPr>
          <w:rFonts w:ascii="Arial" w:hAnsi="Arial" w:cs="Arial"/>
        </w:rPr>
        <w:t>e</w:t>
      </w:r>
      <w:r w:rsidRPr="00D26A74">
        <w:rPr>
          <w:rFonts w:ascii="Arial" w:hAnsi="Arial" w:cs="Arial"/>
        </w:rPr>
        <w:t xml:space="preserve">rung, Intensität, Stabilität und Autonomie zu stellen. Der Kindeswille könne schon allein deswegen zu beachten sein, weil er sich jedenfalls als eine zu respektierende psychische Lebenswirklichkeit des Kindes darstelle. </w:t>
      </w:r>
    </w:p>
    <w:p w14:paraId="02B10090" w14:textId="77777777" w:rsidR="00D26A74" w:rsidRPr="00D26A74" w:rsidRDefault="00D26A74" w:rsidP="00D26A74">
      <w:pPr>
        <w:spacing w:after="0" w:line="360" w:lineRule="auto"/>
        <w:jc w:val="both"/>
        <w:rPr>
          <w:rFonts w:ascii="Arial" w:hAnsi="Arial" w:cs="Arial"/>
        </w:rPr>
      </w:pPr>
    </w:p>
    <w:p w14:paraId="36FB583D" w14:textId="72292D59" w:rsidR="00A02A80" w:rsidRDefault="00A02A80" w:rsidP="00D26A74">
      <w:pPr>
        <w:spacing w:after="0" w:line="360" w:lineRule="auto"/>
        <w:jc w:val="both"/>
        <w:rPr>
          <w:rFonts w:ascii="Arial" w:hAnsi="Arial" w:cs="Arial"/>
        </w:rPr>
      </w:pPr>
      <w:r w:rsidRPr="00D26A74">
        <w:rPr>
          <w:rFonts w:ascii="Arial" w:hAnsi="Arial" w:cs="Arial"/>
        </w:rPr>
        <w:t>Es mu</w:t>
      </w:r>
      <w:r w:rsidR="00591D1D" w:rsidRPr="00D26A74">
        <w:rPr>
          <w:rFonts w:ascii="Arial" w:hAnsi="Arial" w:cs="Arial"/>
        </w:rPr>
        <w:t>s</w:t>
      </w:r>
      <w:r w:rsidRPr="00D26A74">
        <w:rPr>
          <w:rFonts w:ascii="Arial" w:hAnsi="Arial" w:cs="Arial"/>
        </w:rPr>
        <w:t>s sich dabei einerseits um einen stabilen, sich nachhaltig intensivierenden und zielorientierten Willen der Kinder handeln. Es muss sich aber darüber hinaus auch um einen autonomen Willen der Kinder darstellen. Insoweit kann der Berücksichtigung des Kindeswillens entgegenstehen, dass er nicht ausschließlich autonom gebildet sei.</w:t>
      </w:r>
    </w:p>
    <w:p w14:paraId="5B6F592C" w14:textId="77777777" w:rsidR="00D26A74" w:rsidRPr="00D26A74" w:rsidRDefault="00D26A74" w:rsidP="00D26A74">
      <w:pPr>
        <w:spacing w:after="0" w:line="360" w:lineRule="auto"/>
        <w:jc w:val="both"/>
        <w:rPr>
          <w:rFonts w:ascii="Arial" w:hAnsi="Arial" w:cs="Arial"/>
        </w:rPr>
      </w:pPr>
    </w:p>
    <w:p w14:paraId="19F70533" w14:textId="45E99929" w:rsidR="00230642" w:rsidRDefault="00230642" w:rsidP="00D26A74">
      <w:pPr>
        <w:spacing w:after="0" w:line="360" w:lineRule="auto"/>
        <w:jc w:val="both"/>
        <w:rPr>
          <w:rFonts w:ascii="Arial" w:hAnsi="Arial" w:cs="Arial"/>
        </w:rPr>
      </w:pPr>
      <w:r w:rsidRPr="00D26A74">
        <w:rPr>
          <w:rFonts w:ascii="Arial" w:hAnsi="Arial" w:cs="Arial"/>
        </w:rPr>
        <w:t>Jedes Elternteil für sich muss die Bedürfnisse der Kinder von den eigenen Bedürfnissen trennen. Sofern ein Elternteil dies nicht in dem gebotenen Maße tätigen kann, bewirke dieses Elternteil, dass die Kinder nicht ihre eigenen Bedürfnisse auslebten, sondern sich in der Bedürfniswelt des entsprechenden Elternteils einfänden und dementsprechend reagierten. Hierzu können beispielsweise „überbehütende Tendenzen“ zählen. Indizien hierfü</w:t>
      </w:r>
      <w:r w:rsidR="00894235" w:rsidRPr="00D26A74">
        <w:rPr>
          <w:rFonts w:ascii="Arial" w:hAnsi="Arial" w:cs="Arial"/>
        </w:rPr>
        <w:t>r</w:t>
      </w:r>
      <w:r w:rsidRPr="00D26A74">
        <w:rPr>
          <w:rFonts w:ascii="Arial" w:hAnsi="Arial" w:cs="Arial"/>
        </w:rPr>
        <w:t xml:space="preserve"> können Schwierigkeiten des Elternteils sein, sich von den Kindern zu lösen und dem anderen Elternteil zu übergeben. </w:t>
      </w:r>
    </w:p>
    <w:p w14:paraId="59BCC40D" w14:textId="77777777" w:rsidR="00D26A74" w:rsidRPr="00D26A74" w:rsidRDefault="00D26A74" w:rsidP="00D26A74">
      <w:pPr>
        <w:spacing w:after="0" w:line="360" w:lineRule="auto"/>
        <w:jc w:val="both"/>
        <w:rPr>
          <w:rFonts w:ascii="Arial" w:hAnsi="Arial" w:cs="Arial"/>
        </w:rPr>
      </w:pPr>
    </w:p>
    <w:p w14:paraId="348F3405" w14:textId="2D09F2F1" w:rsidR="00230642" w:rsidRPr="00D26A74" w:rsidRDefault="00230642" w:rsidP="00D26A74">
      <w:pPr>
        <w:spacing w:after="0" w:line="360" w:lineRule="auto"/>
        <w:jc w:val="both"/>
        <w:rPr>
          <w:rFonts w:ascii="Arial" w:hAnsi="Arial" w:cs="Arial"/>
        </w:rPr>
      </w:pPr>
      <w:r w:rsidRPr="00D26A74">
        <w:rPr>
          <w:rFonts w:ascii="Arial" w:hAnsi="Arial" w:cs="Arial"/>
        </w:rPr>
        <w:t xml:space="preserve">Beeinflussungs- und Instrumentalisierungstendenzen können unter Umständen aus einem derartigen Verhalten abgeleitet werden. </w:t>
      </w:r>
    </w:p>
    <w:p w14:paraId="035067C5" w14:textId="77777777" w:rsidR="00B52355" w:rsidRPr="00D26A74" w:rsidRDefault="00B52355" w:rsidP="00D26A74">
      <w:pPr>
        <w:spacing w:after="0" w:line="360" w:lineRule="auto"/>
        <w:jc w:val="both"/>
        <w:rPr>
          <w:rFonts w:ascii="Arial" w:hAnsi="Arial" w:cs="Arial"/>
          <w:b/>
          <w:bCs/>
        </w:rPr>
      </w:pPr>
    </w:p>
    <w:p w14:paraId="0E9A96B4" w14:textId="443CFDAD" w:rsidR="00881793" w:rsidRPr="00D26A74" w:rsidRDefault="00881793" w:rsidP="00D26A74">
      <w:pPr>
        <w:pStyle w:val="Listenabsatz"/>
        <w:numPr>
          <w:ilvl w:val="0"/>
          <w:numId w:val="1"/>
        </w:numPr>
        <w:spacing w:after="0" w:line="360" w:lineRule="auto"/>
        <w:ind w:hanging="720"/>
        <w:jc w:val="both"/>
        <w:rPr>
          <w:rFonts w:ascii="Arial" w:hAnsi="Arial" w:cs="Arial"/>
          <w:b/>
          <w:bCs/>
        </w:rPr>
      </w:pPr>
      <w:r w:rsidRPr="00D26A74">
        <w:rPr>
          <w:rFonts w:ascii="Arial" w:hAnsi="Arial" w:cs="Arial"/>
          <w:b/>
          <w:bCs/>
        </w:rPr>
        <w:t>BGH Beschluss vom 27.11.2019 – XII ZB 51</w:t>
      </w:r>
      <w:r w:rsidR="00591D1D" w:rsidRPr="00D26A74">
        <w:rPr>
          <w:rFonts w:ascii="Arial" w:hAnsi="Arial" w:cs="Arial"/>
          <w:b/>
          <w:bCs/>
        </w:rPr>
        <w:t>2</w:t>
      </w:r>
      <w:r w:rsidRPr="00D26A74">
        <w:rPr>
          <w:rFonts w:ascii="Arial" w:hAnsi="Arial" w:cs="Arial"/>
          <w:b/>
          <w:bCs/>
        </w:rPr>
        <w:t>/18 – Vorinstanzen, OLG Frankfurt am Main, AG Bad Schwalbach</w:t>
      </w:r>
    </w:p>
    <w:p w14:paraId="3C79E8E5" w14:textId="72DCA9D7" w:rsidR="00881793" w:rsidRPr="00D26A74" w:rsidRDefault="00881793" w:rsidP="00D26A74">
      <w:pPr>
        <w:spacing w:after="0" w:line="360" w:lineRule="auto"/>
        <w:jc w:val="both"/>
        <w:rPr>
          <w:rFonts w:ascii="Arial" w:hAnsi="Arial" w:cs="Arial"/>
        </w:rPr>
      </w:pPr>
    </w:p>
    <w:p w14:paraId="6C150180" w14:textId="04C05730" w:rsidR="00591D1D" w:rsidRPr="00D26A74" w:rsidRDefault="00591D1D" w:rsidP="00D26A74">
      <w:pPr>
        <w:spacing w:after="0" w:line="360" w:lineRule="auto"/>
        <w:jc w:val="both"/>
        <w:rPr>
          <w:rFonts w:ascii="Arial" w:hAnsi="Arial" w:cs="Arial"/>
        </w:rPr>
      </w:pPr>
      <w:r w:rsidRPr="00D26A74">
        <w:rPr>
          <w:rFonts w:ascii="Arial" w:hAnsi="Arial" w:cs="Arial"/>
        </w:rPr>
        <w:t xml:space="preserve">Der gerichtlichen Übertragung des Aufenthaltsbestimmungsrechts auf einen Elternteil hat keine Bindungswirkung hinsichtlich einer späteren Entscheidung zum Umgang und der sich dabei stellenden Frage, ob ein paritätisches Wechselmodell anzuordnen ist. </w:t>
      </w:r>
    </w:p>
    <w:p w14:paraId="66087AA4" w14:textId="169ACDF1" w:rsidR="00591D1D" w:rsidRPr="00D26A74" w:rsidRDefault="00591D1D" w:rsidP="00D26A74">
      <w:pPr>
        <w:spacing w:after="0" w:line="360" w:lineRule="auto"/>
        <w:jc w:val="both"/>
        <w:rPr>
          <w:rFonts w:ascii="Arial" w:hAnsi="Arial" w:cs="Arial"/>
        </w:rPr>
      </w:pPr>
      <w:r w:rsidRPr="00D26A74">
        <w:rPr>
          <w:rFonts w:ascii="Arial" w:hAnsi="Arial" w:cs="Arial"/>
        </w:rPr>
        <w:t>…</w:t>
      </w:r>
    </w:p>
    <w:p w14:paraId="6F79E58B" w14:textId="7438ECBD" w:rsidR="00591D1D" w:rsidRPr="00D26A74" w:rsidRDefault="00591D1D" w:rsidP="00D26A74">
      <w:pPr>
        <w:spacing w:after="0" w:line="360" w:lineRule="auto"/>
        <w:jc w:val="both"/>
        <w:rPr>
          <w:rFonts w:ascii="Arial" w:hAnsi="Arial" w:cs="Arial"/>
        </w:rPr>
      </w:pPr>
      <w:r w:rsidRPr="00D26A74">
        <w:rPr>
          <w:rFonts w:ascii="Arial" w:hAnsi="Arial" w:cs="Arial"/>
        </w:rPr>
        <w:t xml:space="preserve">Der Anordnung eines Wechselmodells kann entgegenstehen, dass der dieses begehrende Elternteil es an der notwendigen Loyalität gegenüber dem anderen Elternteil fehlen lässt. Ein gegenläufiger Wille des Kindes ist nicht ausschlaggebend, wenn dieser maßgeblich vom das Wechselmodell anstrebenden Elternteil beeinflusst ist. </w:t>
      </w:r>
    </w:p>
    <w:p w14:paraId="701871A9" w14:textId="77777777" w:rsidR="004C4B08" w:rsidRPr="00D26A74" w:rsidRDefault="004C4B08" w:rsidP="00894235">
      <w:pPr>
        <w:jc w:val="both"/>
        <w:rPr>
          <w:rFonts w:ascii="Arial" w:hAnsi="Arial" w:cs="Arial"/>
        </w:rPr>
      </w:pPr>
      <w:bookmarkStart w:id="0" w:name="_GoBack"/>
      <w:bookmarkEnd w:id="0"/>
    </w:p>
    <w:p w14:paraId="74CD453F" w14:textId="77777777" w:rsidR="004C4B08" w:rsidRPr="00D26A74" w:rsidRDefault="004C4B08" w:rsidP="00894235">
      <w:pPr>
        <w:jc w:val="both"/>
        <w:rPr>
          <w:rFonts w:ascii="Arial" w:hAnsi="Arial" w:cs="Arial"/>
        </w:rPr>
      </w:pPr>
    </w:p>
    <w:p w14:paraId="701386A4" w14:textId="77777777" w:rsidR="00D26A74" w:rsidRPr="00A120CD" w:rsidRDefault="00D26A74" w:rsidP="00D26A74">
      <w:pPr>
        <w:spacing w:after="0" w:line="240" w:lineRule="auto"/>
        <w:rPr>
          <w:rFonts w:ascii="Arial" w:hAnsi="Arial" w:cs="Arial"/>
          <w:bCs/>
          <w:sz w:val="20"/>
          <w:szCs w:val="20"/>
        </w:rPr>
      </w:pPr>
      <w:r>
        <w:rPr>
          <w:rFonts w:ascii="Arial" w:hAnsi="Arial" w:cs="Arial"/>
          <w:sz w:val="20"/>
          <w:szCs w:val="20"/>
        </w:rPr>
        <w:t xml:space="preserve">Die Autorin ist Mitglied </w:t>
      </w:r>
      <w:r w:rsidRPr="00A120CD">
        <w:rPr>
          <w:rFonts w:ascii="Arial" w:hAnsi="Arial" w:cs="Arial"/>
          <w:sz w:val="20"/>
          <w:szCs w:val="20"/>
        </w:rPr>
        <w:t xml:space="preserve">der </w:t>
      </w:r>
      <w:r>
        <w:rPr>
          <w:rFonts w:ascii="Arial" w:hAnsi="Arial" w:cs="Arial"/>
          <w:sz w:val="20"/>
          <w:szCs w:val="20"/>
        </w:rPr>
        <w:t xml:space="preserve">DANSEF </w:t>
      </w:r>
      <w:r w:rsidRPr="00A120CD">
        <w:rPr>
          <w:rFonts w:ascii="Arial" w:hAnsi="Arial" w:cs="Arial"/>
          <w:bCs/>
          <w:sz w:val="20"/>
          <w:szCs w:val="20"/>
        </w:rPr>
        <w:t>Deutsche Anw</w:t>
      </w:r>
      <w:r>
        <w:rPr>
          <w:rFonts w:ascii="Arial" w:hAnsi="Arial" w:cs="Arial"/>
          <w:bCs/>
          <w:sz w:val="20"/>
          <w:szCs w:val="20"/>
        </w:rPr>
        <w:t>alts-, Notar- und Steuerberater</w:t>
      </w:r>
      <w:r w:rsidRPr="00A120CD">
        <w:rPr>
          <w:rFonts w:ascii="Arial" w:hAnsi="Arial" w:cs="Arial"/>
          <w:bCs/>
          <w:sz w:val="20"/>
          <w:szCs w:val="20"/>
        </w:rPr>
        <w:t>vereinigung für Erb- und Familienrecht e. V.</w:t>
      </w:r>
    </w:p>
    <w:p w14:paraId="38212442" w14:textId="77777777" w:rsidR="00D26A74" w:rsidRDefault="00D26A74" w:rsidP="00D26A74">
      <w:pPr>
        <w:spacing w:after="0" w:line="240" w:lineRule="auto"/>
        <w:rPr>
          <w:rFonts w:ascii="Arial" w:hAnsi="Arial" w:cs="Arial"/>
          <w:sz w:val="20"/>
          <w:szCs w:val="20"/>
        </w:rPr>
      </w:pPr>
    </w:p>
    <w:p w14:paraId="6A78DA5B" w14:textId="77777777" w:rsidR="00D26A74" w:rsidRPr="00F743BD" w:rsidRDefault="00D26A74" w:rsidP="00D26A74">
      <w:pPr>
        <w:spacing w:after="0" w:line="240" w:lineRule="auto"/>
        <w:rPr>
          <w:rFonts w:ascii="Arial" w:eastAsia="Times New Roman" w:hAnsi="Arial" w:cs="Arial"/>
          <w:sz w:val="20"/>
        </w:rPr>
      </w:pPr>
      <w:r w:rsidRPr="00F743BD">
        <w:rPr>
          <w:rFonts w:ascii="Arial" w:eastAsia="Times New Roman" w:hAnsi="Arial" w:cs="Arial"/>
          <w:sz w:val="20"/>
        </w:rPr>
        <w:t>Für Rückfragen steht Ihnen d</w:t>
      </w:r>
      <w:r>
        <w:rPr>
          <w:rFonts w:ascii="Arial" w:eastAsia="Times New Roman" w:hAnsi="Arial" w:cs="Arial"/>
          <w:sz w:val="20"/>
        </w:rPr>
        <w:t>i</w:t>
      </w:r>
      <w:r w:rsidRPr="00F743BD">
        <w:rPr>
          <w:rFonts w:ascii="Arial" w:eastAsia="Times New Roman" w:hAnsi="Arial" w:cs="Arial"/>
          <w:sz w:val="20"/>
        </w:rPr>
        <w:t>e Autor</w:t>
      </w:r>
      <w:r>
        <w:rPr>
          <w:rFonts w:ascii="Arial" w:eastAsia="Times New Roman" w:hAnsi="Arial" w:cs="Arial"/>
          <w:sz w:val="20"/>
        </w:rPr>
        <w:t>in</w:t>
      </w:r>
      <w:r w:rsidRPr="00F743BD">
        <w:rPr>
          <w:rFonts w:ascii="Arial" w:eastAsia="Times New Roman" w:hAnsi="Arial" w:cs="Arial"/>
          <w:sz w:val="20"/>
        </w:rPr>
        <w:t xml:space="preserve"> gerne zur Verfügung. </w:t>
      </w:r>
    </w:p>
    <w:p w14:paraId="395DC1DB" w14:textId="77777777" w:rsidR="00D26A74" w:rsidRPr="00A43778" w:rsidRDefault="00D26A74" w:rsidP="00D26A74">
      <w:pPr>
        <w:spacing w:after="0" w:line="240" w:lineRule="auto"/>
        <w:rPr>
          <w:rFonts w:ascii="Arial" w:hAnsi="Arial" w:cs="Arial"/>
          <w:sz w:val="20"/>
          <w:szCs w:val="20"/>
        </w:rPr>
      </w:pPr>
    </w:p>
    <w:p w14:paraId="5CE2BE81" w14:textId="77777777" w:rsidR="00D26A74" w:rsidRDefault="00D26A74" w:rsidP="00D26A74">
      <w:pPr>
        <w:spacing w:after="0" w:line="240" w:lineRule="auto"/>
        <w:rPr>
          <w:rFonts w:ascii="Arial" w:hAnsi="Arial" w:cs="Arial"/>
          <w:sz w:val="20"/>
          <w:szCs w:val="20"/>
        </w:rPr>
      </w:pPr>
    </w:p>
    <w:p w14:paraId="01B353CD" w14:textId="77777777" w:rsidR="00D26A74" w:rsidRDefault="00D26A74" w:rsidP="00D26A74">
      <w:pPr>
        <w:spacing w:after="0" w:line="240" w:lineRule="auto"/>
        <w:rPr>
          <w:rFonts w:ascii="Arial" w:hAnsi="Arial" w:cs="Arial"/>
          <w:sz w:val="20"/>
          <w:szCs w:val="20"/>
        </w:rPr>
      </w:pPr>
      <w:r w:rsidRPr="00A43778">
        <w:rPr>
          <w:rFonts w:ascii="Arial" w:hAnsi="Arial" w:cs="Arial"/>
          <w:sz w:val="20"/>
          <w:szCs w:val="20"/>
        </w:rPr>
        <w:t>Helene-Monika Filiz</w:t>
      </w:r>
    </w:p>
    <w:p w14:paraId="57A29964" w14:textId="77777777" w:rsidR="00D26A74" w:rsidRDefault="00D26A74" w:rsidP="00D26A74">
      <w:pPr>
        <w:spacing w:after="0" w:line="240" w:lineRule="auto"/>
        <w:rPr>
          <w:rFonts w:ascii="Arial" w:hAnsi="Arial" w:cs="Arial"/>
          <w:sz w:val="20"/>
          <w:szCs w:val="20"/>
        </w:rPr>
      </w:pPr>
      <w:r>
        <w:rPr>
          <w:rFonts w:ascii="Arial" w:hAnsi="Arial" w:cs="Arial"/>
          <w:sz w:val="20"/>
          <w:szCs w:val="20"/>
        </w:rPr>
        <w:t>Rechtsanwältin</w:t>
      </w:r>
      <w:r w:rsidRPr="00A43778">
        <w:rPr>
          <w:rFonts w:ascii="Arial" w:hAnsi="Arial" w:cs="Arial"/>
          <w:sz w:val="20"/>
          <w:szCs w:val="20"/>
        </w:rPr>
        <w:t xml:space="preserve"> </w:t>
      </w:r>
    </w:p>
    <w:p w14:paraId="13E37AD5" w14:textId="77777777" w:rsidR="00D26A74" w:rsidRDefault="00D26A74" w:rsidP="00D26A74">
      <w:pPr>
        <w:spacing w:after="0" w:line="240" w:lineRule="auto"/>
        <w:rPr>
          <w:rFonts w:ascii="Arial" w:hAnsi="Arial" w:cs="Arial"/>
          <w:sz w:val="20"/>
          <w:szCs w:val="20"/>
        </w:rPr>
      </w:pPr>
      <w:r w:rsidRPr="00A43778">
        <w:rPr>
          <w:rFonts w:ascii="Arial" w:hAnsi="Arial" w:cs="Arial"/>
          <w:sz w:val="20"/>
          <w:szCs w:val="20"/>
        </w:rPr>
        <w:t>Fachanwältin für Familienrecht</w:t>
      </w:r>
    </w:p>
    <w:p w14:paraId="18EBFE45" w14:textId="77777777" w:rsidR="00D26A74" w:rsidRPr="00A43778" w:rsidRDefault="00D26A74" w:rsidP="00D26A74">
      <w:pPr>
        <w:spacing w:after="0" w:line="240" w:lineRule="auto"/>
        <w:rPr>
          <w:rFonts w:ascii="Arial" w:hAnsi="Arial" w:cs="Arial"/>
          <w:sz w:val="20"/>
          <w:szCs w:val="20"/>
        </w:rPr>
      </w:pPr>
      <w:r w:rsidRPr="00A43778">
        <w:rPr>
          <w:rFonts w:ascii="Arial" w:hAnsi="Arial" w:cs="Arial"/>
          <w:sz w:val="20"/>
          <w:szCs w:val="20"/>
        </w:rPr>
        <w:t xml:space="preserve">Fachanwältin Bau- und Architektenrecht, Streitschlichterin RAK </w:t>
      </w:r>
      <w:proofErr w:type="spellStart"/>
      <w:r w:rsidRPr="00A43778">
        <w:rPr>
          <w:rFonts w:ascii="Arial" w:hAnsi="Arial" w:cs="Arial"/>
          <w:sz w:val="20"/>
          <w:szCs w:val="20"/>
        </w:rPr>
        <w:t>Ffm</w:t>
      </w:r>
      <w:proofErr w:type="spellEnd"/>
      <w:r w:rsidRPr="00A43778">
        <w:rPr>
          <w:rFonts w:ascii="Arial" w:hAnsi="Arial" w:cs="Arial"/>
          <w:sz w:val="20"/>
          <w:szCs w:val="20"/>
        </w:rPr>
        <w:t>.</w:t>
      </w:r>
    </w:p>
    <w:p w14:paraId="30865C15" w14:textId="77777777" w:rsidR="00D26A74" w:rsidRPr="00A43778" w:rsidRDefault="00D26A74" w:rsidP="00D26A74">
      <w:pPr>
        <w:spacing w:after="0" w:line="240" w:lineRule="auto"/>
        <w:rPr>
          <w:rFonts w:ascii="Arial" w:hAnsi="Arial" w:cs="Arial"/>
          <w:sz w:val="20"/>
          <w:szCs w:val="20"/>
        </w:rPr>
      </w:pPr>
      <w:proofErr w:type="spellStart"/>
      <w:r w:rsidRPr="00A43778">
        <w:rPr>
          <w:rFonts w:ascii="Arial" w:hAnsi="Arial" w:cs="Arial"/>
          <w:sz w:val="20"/>
          <w:szCs w:val="20"/>
        </w:rPr>
        <w:t>Freiling</w:t>
      </w:r>
      <w:proofErr w:type="spellEnd"/>
      <w:r w:rsidRPr="00A43778">
        <w:rPr>
          <w:rFonts w:ascii="Arial" w:hAnsi="Arial" w:cs="Arial"/>
          <w:sz w:val="20"/>
          <w:szCs w:val="20"/>
        </w:rPr>
        <w:t xml:space="preserve"> &amp; Partner Rechtsanwälte</w:t>
      </w:r>
    </w:p>
    <w:p w14:paraId="2D876241" w14:textId="77777777" w:rsidR="00D26A74" w:rsidRDefault="00D26A74" w:rsidP="00D26A74">
      <w:pPr>
        <w:spacing w:after="0" w:line="240" w:lineRule="auto"/>
        <w:rPr>
          <w:rFonts w:ascii="Arial" w:hAnsi="Arial" w:cs="Arial"/>
          <w:sz w:val="20"/>
          <w:szCs w:val="20"/>
        </w:rPr>
      </w:pPr>
      <w:r w:rsidRPr="00A43778">
        <w:rPr>
          <w:rFonts w:ascii="Arial" w:hAnsi="Arial" w:cs="Arial"/>
          <w:sz w:val="20"/>
          <w:szCs w:val="20"/>
        </w:rPr>
        <w:t>Paul-Ehrlich-Straße 27</w:t>
      </w:r>
    </w:p>
    <w:p w14:paraId="3DD11C2C" w14:textId="77777777" w:rsidR="00D26A74" w:rsidRPr="00A43778" w:rsidRDefault="00D26A74" w:rsidP="00D26A74">
      <w:pPr>
        <w:spacing w:after="0" w:line="240" w:lineRule="auto"/>
        <w:rPr>
          <w:rFonts w:ascii="Arial" w:hAnsi="Arial" w:cs="Arial"/>
          <w:sz w:val="20"/>
          <w:szCs w:val="20"/>
        </w:rPr>
      </w:pPr>
      <w:r w:rsidRPr="00A43778">
        <w:rPr>
          <w:rFonts w:ascii="Arial" w:hAnsi="Arial" w:cs="Arial"/>
          <w:sz w:val="20"/>
          <w:szCs w:val="20"/>
        </w:rPr>
        <w:t xml:space="preserve">60596 Frankfurt am Main </w:t>
      </w:r>
    </w:p>
    <w:p w14:paraId="1A32A58B" w14:textId="77777777" w:rsidR="00D26A74" w:rsidRDefault="00D26A74" w:rsidP="00D26A74">
      <w:pPr>
        <w:spacing w:after="0" w:line="240" w:lineRule="auto"/>
        <w:rPr>
          <w:rFonts w:ascii="Arial" w:hAnsi="Arial" w:cs="Arial"/>
          <w:sz w:val="20"/>
          <w:szCs w:val="20"/>
        </w:rPr>
      </w:pPr>
      <w:r w:rsidRPr="00A43778">
        <w:rPr>
          <w:rFonts w:ascii="Arial" w:hAnsi="Arial" w:cs="Arial"/>
          <w:sz w:val="20"/>
          <w:szCs w:val="20"/>
        </w:rPr>
        <w:t>Telefon 069 / 96861460-0</w:t>
      </w:r>
      <w:r>
        <w:rPr>
          <w:rFonts w:ascii="Arial" w:hAnsi="Arial" w:cs="Arial"/>
          <w:sz w:val="20"/>
          <w:szCs w:val="20"/>
        </w:rPr>
        <w:tab/>
      </w:r>
      <w:r w:rsidRPr="00A43778">
        <w:rPr>
          <w:rFonts w:ascii="Arial" w:hAnsi="Arial" w:cs="Arial"/>
          <w:sz w:val="20"/>
          <w:szCs w:val="20"/>
        </w:rPr>
        <w:t>Telefax 069 / 96861460-99</w:t>
      </w:r>
    </w:p>
    <w:p w14:paraId="24058C01" w14:textId="77777777" w:rsidR="00D26A74" w:rsidRDefault="00D26A74" w:rsidP="00D26A74">
      <w:pPr>
        <w:spacing w:after="0" w:line="240" w:lineRule="auto"/>
        <w:rPr>
          <w:rFonts w:ascii="Arial" w:hAnsi="Arial" w:cs="Arial"/>
          <w:sz w:val="20"/>
          <w:szCs w:val="20"/>
        </w:rPr>
      </w:pPr>
      <w:r w:rsidRPr="00A43778">
        <w:rPr>
          <w:rFonts w:ascii="Arial" w:hAnsi="Arial" w:cs="Arial"/>
          <w:sz w:val="20"/>
          <w:szCs w:val="20"/>
        </w:rPr>
        <w:t xml:space="preserve">E-Mail </w:t>
      </w:r>
      <w:hyperlink r:id="rId9" w:history="1">
        <w:r w:rsidRPr="00A43778">
          <w:rPr>
            <w:rStyle w:val="Hyperlink"/>
            <w:rFonts w:ascii="Arial" w:hAnsi="Arial" w:cs="Arial"/>
            <w:sz w:val="20"/>
            <w:szCs w:val="20"/>
          </w:rPr>
          <w:t>RA-Filiz@web.de</w:t>
        </w:r>
      </w:hyperlink>
      <w:r>
        <w:rPr>
          <w:rFonts w:ascii="Arial" w:hAnsi="Arial" w:cs="Arial"/>
          <w:sz w:val="20"/>
          <w:szCs w:val="20"/>
        </w:rPr>
        <w:tab/>
      </w:r>
      <w:hyperlink r:id="rId10" w:history="1">
        <w:r w:rsidRPr="00263C1B">
          <w:rPr>
            <w:rStyle w:val="Hyperlink"/>
            <w:rFonts w:ascii="Arial" w:hAnsi="Arial" w:cs="Arial"/>
            <w:sz w:val="20"/>
            <w:szCs w:val="20"/>
          </w:rPr>
          <w:t>www.freiling-partner.com</w:t>
        </w:r>
      </w:hyperlink>
    </w:p>
    <w:p w14:paraId="288C515F" w14:textId="77777777" w:rsidR="00D26A74" w:rsidRPr="00D26A74" w:rsidRDefault="00D26A74" w:rsidP="00894235">
      <w:pPr>
        <w:jc w:val="both"/>
        <w:rPr>
          <w:rFonts w:ascii="Arial" w:hAnsi="Arial" w:cs="Arial"/>
        </w:rPr>
      </w:pPr>
    </w:p>
    <w:sectPr w:rsidR="00D26A74" w:rsidRPr="00D26A74">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81DB27" w14:textId="77777777" w:rsidR="00D26A74" w:rsidRDefault="00D26A74" w:rsidP="00D26A74">
      <w:pPr>
        <w:spacing w:after="0" w:line="240" w:lineRule="auto"/>
      </w:pPr>
      <w:r>
        <w:separator/>
      </w:r>
    </w:p>
  </w:endnote>
  <w:endnote w:type="continuationSeparator" w:id="0">
    <w:p w14:paraId="2FF4198B" w14:textId="77777777" w:rsidR="00D26A74" w:rsidRDefault="00D26A74" w:rsidP="00D26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2C8235" w14:textId="77777777" w:rsidR="00D26A74" w:rsidRDefault="00D26A74" w:rsidP="00D26A74">
      <w:pPr>
        <w:spacing w:after="0" w:line="240" w:lineRule="auto"/>
      </w:pPr>
      <w:r>
        <w:separator/>
      </w:r>
    </w:p>
  </w:footnote>
  <w:footnote w:type="continuationSeparator" w:id="0">
    <w:p w14:paraId="10D08EFE" w14:textId="77777777" w:rsidR="00D26A74" w:rsidRDefault="00D26A74" w:rsidP="00D26A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61A62" w14:textId="0D3CA0C7" w:rsidR="00D26A74" w:rsidRPr="00D26A74" w:rsidRDefault="00D26A74" w:rsidP="00D26A74">
    <w:pPr>
      <w:tabs>
        <w:tab w:val="center" w:pos="4536"/>
        <w:tab w:val="right" w:pos="9072"/>
      </w:tabs>
      <w:jc w:val="center"/>
      <w:rPr>
        <w:rFonts w:ascii="Arial" w:hAnsi="Arial" w:cs="Arial"/>
        <w:sz w:val="28"/>
        <w:szCs w:val="28"/>
      </w:rPr>
    </w:pPr>
    <w:r w:rsidRPr="00D26A74">
      <w:rPr>
        <w:rFonts w:ascii="Arial" w:hAnsi="Arial" w:cs="Arial"/>
        <w:sz w:val="28"/>
        <w:szCs w:val="28"/>
      </w:rPr>
      <w:t>R</w:t>
    </w:r>
    <w:r>
      <w:rPr>
        <w:rFonts w:ascii="Arial" w:hAnsi="Arial" w:cs="Arial"/>
        <w:sz w:val="28"/>
        <w:szCs w:val="28"/>
      </w:rPr>
      <w:t>echtsdepesche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FA68D8"/>
    <w:multiLevelType w:val="hybridMultilevel"/>
    <w:tmpl w:val="D88028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A80"/>
    <w:rsid w:val="0007580E"/>
    <w:rsid w:val="001931E0"/>
    <w:rsid w:val="00230642"/>
    <w:rsid w:val="004C4B08"/>
    <w:rsid w:val="0058463D"/>
    <w:rsid w:val="00591D1D"/>
    <w:rsid w:val="00881793"/>
    <w:rsid w:val="00894235"/>
    <w:rsid w:val="009218AE"/>
    <w:rsid w:val="00A02A80"/>
    <w:rsid w:val="00A975BA"/>
    <w:rsid w:val="00B52355"/>
    <w:rsid w:val="00BD0E9F"/>
    <w:rsid w:val="00D26A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10ACA"/>
  <w15:chartTrackingRefBased/>
  <w15:docId w15:val="{5B5CE02E-D7E9-4BCE-97D9-6429006D4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81793"/>
    <w:pPr>
      <w:ind w:left="720"/>
      <w:contextualSpacing/>
    </w:pPr>
  </w:style>
  <w:style w:type="paragraph" w:styleId="Kopfzeile">
    <w:name w:val="header"/>
    <w:basedOn w:val="Standard"/>
    <w:link w:val="KopfzeileZchn"/>
    <w:uiPriority w:val="99"/>
    <w:unhideWhenUsed/>
    <w:rsid w:val="00D26A7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26A74"/>
  </w:style>
  <w:style w:type="paragraph" w:styleId="Fuzeile">
    <w:name w:val="footer"/>
    <w:basedOn w:val="Standard"/>
    <w:link w:val="FuzeileZchn"/>
    <w:uiPriority w:val="99"/>
    <w:unhideWhenUsed/>
    <w:rsid w:val="00D26A7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26A74"/>
  </w:style>
  <w:style w:type="character" w:styleId="Hyperlink">
    <w:name w:val="Hyperlink"/>
    <w:basedOn w:val="Absatz-Standardschriftart"/>
    <w:uiPriority w:val="99"/>
    <w:unhideWhenUsed/>
    <w:rsid w:val="00D26A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577B0.8F465BC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freiling-partner.com" TargetMode="External"/><Relationship Id="rId4" Type="http://schemas.openxmlformats.org/officeDocument/2006/relationships/webSettings" Target="webSettings.xml"/><Relationship Id="rId9" Type="http://schemas.openxmlformats.org/officeDocument/2006/relationships/hyperlink" Target="mailto:RA-Filiz@web.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3510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Filiz</dc:creator>
  <cp:keywords/>
  <dc:description/>
  <cp:lastModifiedBy>Michelle Hawkins</cp:lastModifiedBy>
  <cp:revision>3</cp:revision>
  <dcterms:created xsi:type="dcterms:W3CDTF">2020-01-09T19:54:00Z</dcterms:created>
  <dcterms:modified xsi:type="dcterms:W3CDTF">2020-02-12T14:21:00Z</dcterms:modified>
</cp:coreProperties>
</file>