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3C" w:rsidRDefault="005A4D3C" w:rsidP="005A4D3C">
      <w:pPr>
        <w:jc w:val="right"/>
        <w:rPr>
          <w:b/>
          <w:sz w:val="22"/>
          <w:szCs w:val="22"/>
        </w:rPr>
      </w:pPr>
      <w:r>
        <w:rPr>
          <w:noProof/>
        </w:rPr>
        <w:drawing>
          <wp:inline distT="0" distB="0" distL="0" distR="0" wp14:anchorId="4A85A7B6" wp14:editId="047FBB13">
            <wp:extent cx="1912620" cy="441960"/>
            <wp:effectExtent l="0" t="0" r="0" b="0"/>
            <wp:docPr id="1" name="Grafik 1" descr="Beschreibung: cid:image001.png@01D1ED77.D501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cid:image001.png@01D1ED77.D50105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12620" cy="441960"/>
                    </a:xfrm>
                    <a:prstGeom prst="rect">
                      <a:avLst/>
                    </a:prstGeom>
                    <a:noFill/>
                    <a:ln>
                      <a:noFill/>
                    </a:ln>
                  </pic:spPr>
                </pic:pic>
              </a:graphicData>
            </a:graphic>
          </wp:inline>
        </w:drawing>
      </w:r>
    </w:p>
    <w:p w:rsidR="008246B5" w:rsidRPr="001F2DE4" w:rsidRDefault="008F0935" w:rsidP="005A4D3C">
      <w:pPr>
        <w:spacing w:line="360" w:lineRule="auto"/>
        <w:rPr>
          <w:b/>
          <w:sz w:val="22"/>
          <w:szCs w:val="22"/>
        </w:rPr>
      </w:pPr>
      <w:r w:rsidRPr="001F2DE4">
        <w:rPr>
          <w:b/>
          <w:sz w:val="22"/>
          <w:szCs w:val="22"/>
        </w:rPr>
        <w:t>Unternehmerehe: Ehevertrag anzuraten!</w:t>
      </w:r>
    </w:p>
    <w:p w:rsidR="008F0935" w:rsidRDefault="008F0935" w:rsidP="005A4D3C">
      <w:pPr>
        <w:spacing w:line="360" w:lineRule="auto"/>
        <w:rPr>
          <w:sz w:val="22"/>
          <w:szCs w:val="22"/>
        </w:rPr>
      </w:pPr>
    </w:p>
    <w:p w:rsidR="008F0935" w:rsidRDefault="00695CD2" w:rsidP="005A4D3C">
      <w:pPr>
        <w:spacing w:line="360" w:lineRule="auto"/>
        <w:jc w:val="both"/>
        <w:rPr>
          <w:sz w:val="22"/>
          <w:szCs w:val="22"/>
        </w:rPr>
      </w:pPr>
      <w:r>
        <w:rPr>
          <w:sz w:val="22"/>
          <w:szCs w:val="22"/>
        </w:rPr>
        <w:t>e</w:t>
      </w:r>
      <w:r w:rsidR="008F0935">
        <w:rPr>
          <w:sz w:val="22"/>
          <w:szCs w:val="22"/>
        </w:rPr>
        <w:t>in A</w:t>
      </w:r>
      <w:r>
        <w:rPr>
          <w:sz w:val="22"/>
          <w:szCs w:val="22"/>
        </w:rPr>
        <w:t>rtikel</w:t>
      </w:r>
      <w:r w:rsidR="008F0935">
        <w:rPr>
          <w:sz w:val="22"/>
          <w:szCs w:val="22"/>
        </w:rPr>
        <w:t xml:space="preserve"> von Rechtsanwalt </w:t>
      </w:r>
      <w:r>
        <w:rPr>
          <w:sz w:val="22"/>
          <w:szCs w:val="22"/>
        </w:rPr>
        <w:t xml:space="preserve">und Fachanwalt für Familienrecht, </w:t>
      </w:r>
      <w:r w:rsidR="008F0935">
        <w:rPr>
          <w:sz w:val="22"/>
          <w:szCs w:val="22"/>
        </w:rPr>
        <w:t>Martin Weispfenning,</w:t>
      </w:r>
      <w:r w:rsidR="00EF2ADD">
        <w:rPr>
          <w:sz w:val="22"/>
          <w:szCs w:val="22"/>
        </w:rPr>
        <w:t xml:space="preserve"> </w:t>
      </w:r>
      <w:r w:rsidR="008F0935">
        <w:rPr>
          <w:sz w:val="22"/>
          <w:szCs w:val="22"/>
        </w:rPr>
        <w:t>Nürnberg</w:t>
      </w:r>
    </w:p>
    <w:p w:rsidR="008F0935" w:rsidRDefault="008F0935" w:rsidP="005A4D3C">
      <w:pPr>
        <w:spacing w:line="360" w:lineRule="auto"/>
        <w:jc w:val="both"/>
        <w:rPr>
          <w:sz w:val="22"/>
          <w:szCs w:val="22"/>
        </w:rPr>
      </w:pPr>
    </w:p>
    <w:p w:rsidR="008F0935" w:rsidRPr="001F2DE4" w:rsidRDefault="008F0935" w:rsidP="005A4D3C">
      <w:pPr>
        <w:spacing w:line="360" w:lineRule="auto"/>
        <w:jc w:val="both"/>
        <w:rPr>
          <w:b/>
          <w:sz w:val="22"/>
          <w:szCs w:val="22"/>
        </w:rPr>
      </w:pPr>
      <w:r w:rsidRPr="001F2DE4">
        <w:rPr>
          <w:b/>
          <w:sz w:val="22"/>
          <w:szCs w:val="22"/>
        </w:rPr>
        <w:t>Obwohl die Zahl der Eheschließungen in den letzten Jahren zurückgegangen ist, ist die Zahl der Scheidungen konstant hoch geblieben.</w:t>
      </w:r>
      <w:r w:rsidR="006A2D0F" w:rsidRPr="001F2DE4">
        <w:rPr>
          <w:b/>
          <w:sz w:val="22"/>
          <w:szCs w:val="22"/>
        </w:rPr>
        <w:t xml:space="preserve"> In der Zeit der „Corona-Krise“ ist die Anzahl der Scheidungsanträge nach einer Erhebung sogar gestiegen.</w:t>
      </w:r>
      <w:r w:rsidRPr="001F2DE4">
        <w:rPr>
          <w:b/>
          <w:sz w:val="22"/>
          <w:szCs w:val="22"/>
        </w:rPr>
        <w:t xml:space="preserve"> Für Unternehmer gilt bei der Scheidung, dass auch der Fortbestand des Unternehmens gefährdet </w:t>
      </w:r>
      <w:r w:rsidR="00530707">
        <w:rPr>
          <w:b/>
          <w:sz w:val="22"/>
          <w:szCs w:val="22"/>
        </w:rPr>
        <w:t>sein kann</w:t>
      </w:r>
    </w:p>
    <w:p w:rsidR="008F0935" w:rsidRDefault="008F0935" w:rsidP="005A4D3C">
      <w:pPr>
        <w:spacing w:line="360" w:lineRule="auto"/>
        <w:jc w:val="both"/>
        <w:rPr>
          <w:sz w:val="22"/>
          <w:szCs w:val="22"/>
        </w:rPr>
      </w:pPr>
    </w:p>
    <w:p w:rsidR="008F0935" w:rsidRDefault="008F0935" w:rsidP="005A4D3C">
      <w:pPr>
        <w:spacing w:line="360" w:lineRule="auto"/>
        <w:jc w:val="both"/>
        <w:rPr>
          <w:sz w:val="22"/>
          <w:szCs w:val="22"/>
        </w:rPr>
      </w:pPr>
      <w:r>
        <w:rPr>
          <w:sz w:val="22"/>
          <w:szCs w:val="22"/>
        </w:rPr>
        <w:t>Ohne Ehevertrag gilt der gesetzliche Güterstand der Zugewinngemeinschaft, so dass bei einer Ehescheidung auf Antrag eines Ehegatten der Zugewinnausgleich erfolgt.</w:t>
      </w:r>
      <w:r w:rsidR="00EF2ADD">
        <w:rPr>
          <w:sz w:val="22"/>
          <w:szCs w:val="22"/>
        </w:rPr>
        <w:t xml:space="preserve"> </w:t>
      </w:r>
      <w:r>
        <w:rPr>
          <w:sz w:val="22"/>
          <w:szCs w:val="22"/>
        </w:rPr>
        <w:t>Dann kann es bei Unternehmerehen dazu kommen,</w:t>
      </w:r>
      <w:r w:rsidR="00EF2ADD">
        <w:rPr>
          <w:sz w:val="22"/>
          <w:szCs w:val="22"/>
        </w:rPr>
        <w:t xml:space="preserve"> </w:t>
      </w:r>
      <w:r>
        <w:rPr>
          <w:sz w:val="22"/>
          <w:szCs w:val="22"/>
        </w:rPr>
        <w:t>dass der Unternehmerehegatte aufgrund einer Wertsteigerung seines Unternehmens während der Ehe einem hohen Zugewinnausgleichsanspruch des anderen Ehegatten ausgesetzt ist.</w:t>
      </w:r>
    </w:p>
    <w:p w:rsidR="008F0935" w:rsidRDefault="008F0935" w:rsidP="005A4D3C">
      <w:pPr>
        <w:spacing w:line="360" w:lineRule="auto"/>
        <w:jc w:val="both"/>
        <w:rPr>
          <w:sz w:val="22"/>
          <w:szCs w:val="22"/>
        </w:rPr>
      </w:pPr>
    </w:p>
    <w:p w:rsidR="008F0935" w:rsidRDefault="008F0935" w:rsidP="005A4D3C">
      <w:pPr>
        <w:spacing w:line="360" w:lineRule="auto"/>
        <w:jc w:val="both"/>
        <w:rPr>
          <w:sz w:val="22"/>
          <w:szCs w:val="22"/>
        </w:rPr>
      </w:pPr>
      <w:r>
        <w:rPr>
          <w:sz w:val="22"/>
          <w:szCs w:val="22"/>
        </w:rPr>
        <w:t>In diesem Zusammenhang ist anzumerken,</w:t>
      </w:r>
      <w:r w:rsidR="00EF2ADD">
        <w:rPr>
          <w:sz w:val="22"/>
          <w:szCs w:val="22"/>
        </w:rPr>
        <w:t xml:space="preserve"> </w:t>
      </w:r>
      <w:r>
        <w:rPr>
          <w:sz w:val="22"/>
          <w:szCs w:val="22"/>
        </w:rPr>
        <w:t>dass für die Ermittlung des Unternehmenswerts im Anfangs-</w:t>
      </w:r>
      <w:r w:rsidR="00EF2ADD">
        <w:rPr>
          <w:sz w:val="22"/>
          <w:szCs w:val="22"/>
        </w:rPr>
        <w:t xml:space="preserve"> </w:t>
      </w:r>
      <w:r>
        <w:rPr>
          <w:sz w:val="22"/>
          <w:szCs w:val="22"/>
        </w:rPr>
        <w:t>und Endvermögen nicht die niedrigeren  Steuer-</w:t>
      </w:r>
      <w:r w:rsidR="00EF2ADD">
        <w:rPr>
          <w:sz w:val="22"/>
          <w:szCs w:val="22"/>
        </w:rPr>
        <w:t xml:space="preserve"> </w:t>
      </w:r>
      <w:r>
        <w:rPr>
          <w:sz w:val="22"/>
          <w:szCs w:val="22"/>
        </w:rPr>
        <w:t>oder Bilanzwerte  maßgeblich sind,</w:t>
      </w:r>
      <w:r w:rsidR="00EF2ADD">
        <w:rPr>
          <w:sz w:val="22"/>
          <w:szCs w:val="22"/>
        </w:rPr>
        <w:t xml:space="preserve"> </w:t>
      </w:r>
      <w:r>
        <w:rPr>
          <w:sz w:val="22"/>
          <w:szCs w:val="22"/>
        </w:rPr>
        <w:t xml:space="preserve">sondern </w:t>
      </w:r>
      <w:r w:rsidR="00EF2ADD">
        <w:rPr>
          <w:sz w:val="22"/>
          <w:szCs w:val="22"/>
        </w:rPr>
        <w:t>immer der Verkehrswert des Unternehmens (abzüglich latenter Steuern).Das kann bei nicht ausreichender Liquidität des Unternehmerehegatten dazu führen, dass der Unternehmerehegatte einen Kredit aufnehmen muss, um die Zugewinnausgleichsforderung erfüllen zu können oder gar das Unternehmen verkaufen muss.</w:t>
      </w:r>
    </w:p>
    <w:p w:rsidR="00EF2ADD" w:rsidRDefault="00EF2ADD" w:rsidP="005A4D3C">
      <w:pPr>
        <w:spacing w:line="360" w:lineRule="auto"/>
        <w:jc w:val="both"/>
        <w:rPr>
          <w:sz w:val="22"/>
          <w:szCs w:val="22"/>
        </w:rPr>
      </w:pPr>
    </w:p>
    <w:p w:rsidR="00EF2ADD" w:rsidRDefault="00EF2ADD" w:rsidP="005A4D3C">
      <w:pPr>
        <w:spacing w:line="360" w:lineRule="auto"/>
        <w:jc w:val="both"/>
        <w:rPr>
          <w:sz w:val="22"/>
          <w:szCs w:val="22"/>
        </w:rPr>
      </w:pPr>
      <w:r>
        <w:rPr>
          <w:sz w:val="22"/>
          <w:szCs w:val="22"/>
        </w:rPr>
        <w:t>Auch muss der Unternehmerehegatte nach Erlangung einer vollstreckbaren Ausfertigung der gerichtlichen Entscheidung zum Zugewinnausgleich durch den anderen Ehegatten Zwangsvollstreckungsmaßnahmen des anderen Ehegatten ins Unternehmen</w:t>
      </w:r>
      <w:r w:rsidR="006A2D0F">
        <w:rPr>
          <w:sz w:val="22"/>
          <w:szCs w:val="22"/>
        </w:rPr>
        <w:t>svermögen</w:t>
      </w:r>
      <w:r>
        <w:rPr>
          <w:sz w:val="22"/>
          <w:szCs w:val="22"/>
        </w:rPr>
        <w:t xml:space="preserve"> befürchten,</w:t>
      </w:r>
      <w:r w:rsidR="00F16C49">
        <w:rPr>
          <w:sz w:val="22"/>
          <w:szCs w:val="22"/>
        </w:rPr>
        <w:t xml:space="preserve"> </w:t>
      </w:r>
      <w:r>
        <w:rPr>
          <w:sz w:val="22"/>
          <w:szCs w:val="22"/>
        </w:rPr>
        <w:t xml:space="preserve">so dass die Existenzgrundlage </w:t>
      </w:r>
      <w:r w:rsidR="00F16C49">
        <w:rPr>
          <w:sz w:val="22"/>
          <w:szCs w:val="22"/>
        </w:rPr>
        <w:t>umso mehr gefährdet ist.</w:t>
      </w:r>
    </w:p>
    <w:p w:rsidR="00F16C49" w:rsidRDefault="00F16C49" w:rsidP="005A4D3C">
      <w:pPr>
        <w:spacing w:line="360" w:lineRule="auto"/>
        <w:jc w:val="both"/>
        <w:rPr>
          <w:sz w:val="22"/>
          <w:szCs w:val="22"/>
        </w:rPr>
      </w:pPr>
    </w:p>
    <w:p w:rsidR="00F16C49" w:rsidRDefault="00F16C49" w:rsidP="005A4D3C">
      <w:pPr>
        <w:spacing w:line="360" w:lineRule="auto"/>
        <w:jc w:val="both"/>
        <w:rPr>
          <w:sz w:val="22"/>
          <w:szCs w:val="22"/>
        </w:rPr>
      </w:pPr>
      <w:r>
        <w:rPr>
          <w:sz w:val="22"/>
          <w:szCs w:val="22"/>
        </w:rPr>
        <w:t xml:space="preserve">Diese Folgen der gesetzlichen Regelungen zum Zugewinnausgleich können durch notariellen Ehevertrag, in welchem die sogenannte </w:t>
      </w:r>
      <w:r w:rsidR="006A2D0F">
        <w:rPr>
          <w:sz w:val="22"/>
          <w:szCs w:val="22"/>
        </w:rPr>
        <w:t>„</w:t>
      </w:r>
      <w:r>
        <w:rPr>
          <w:sz w:val="22"/>
          <w:szCs w:val="22"/>
        </w:rPr>
        <w:t>modifizierte Zugewinngemeinschaft</w:t>
      </w:r>
      <w:r w:rsidR="006A2D0F">
        <w:rPr>
          <w:sz w:val="22"/>
          <w:szCs w:val="22"/>
        </w:rPr>
        <w:t>“</w:t>
      </w:r>
      <w:r>
        <w:rPr>
          <w:sz w:val="22"/>
          <w:szCs w:val="22"/>
        </w:rPr>
        <w:t xml:space="preserve"> vereinbart wird, ausgeschlossen werden. So kann man im Rahmen der </w:t>
      </w:r>
      <w:r w:rsidR="006A2D0F">
        <w:rPr>
          <w:sz w:val="22"/>
          <w:szCs w:val="22"/>
        </w:rPr>
        <w:t>„</w:t>
      </w:r>
      <w:r>
        <w:rPr>
          <w:sz w:val="22"/>
          <w:szCs w:val="22"/>
        </w:rPr>
        <w:t>modifizierten Zugewinngemeinschaft</w:t>
      </w:r>
      <w:r w:rsidR="006A2D0F">
        <w:rPr>
          <w:sz w:val="22"/>
          <w:szCs w:val="22"/>
        </w:rPr>
        <w:t>“</w:t>
      </w:r>
      <w:r>
        <w:rPr>
          <w:sz w:val="22"/>
          <w:szCs w:val="22"/>
        </w:rPr>
        <w:t xml:space="preserve"> beispielsweise das unternehmerische Vermögen aus dem Zugewinnausgleich herausnehmen und es gleichzeitig für den Erbfall bei der für den Ehegatten im Vergleich zur Gütertrennung erbrechtlich und steuerlich günstigeren Variante der Zugewinngemeinschaft belassen.</w:t>
      </w:r>
    </w:p>
    <w:p w:rsidR="005A4D3C" w:rsidRDefault="005A4D3C" w:rsidP="005A4D3C">
      <w:pPr>
        <w:spacing w:line="360" w:lineRule="auto"/>
        <w:jc w:val="both"/>
        <w:rPr>
          <w:sz w:val="22"/>
          <w:szCs w:val="22"/>
        </w:rPr>
      </w:pPr>
    </w:p>
    <w:p w:rsidR="00F16C49" w:rsidRDefault="00F16C49" w:rsidP="005A4D3C">
      <w:pPr>
        <w:spacing w:line="360" w:lineRule="auto"/>
        <w:jc w:val="both"/>
        <w:rPr>
          <w:sz w:val="22"/>
          <w:szCs w:val="22"/>
        </w:rPr>
      </w:pPr>
      <w:r>
        <w:rPr>
          <w:sz w:val="22"/>
          <w:szCs w:val="22"/>
        </w:rPr>
        <w:t>Sehr wichtig ist es daran zu denken, die Zwangsvollstreckung in das unternehmerische Vermögen auszuschließen. Ansonsten wäre die Existenzgrundlage des Unternehmerehegatten</w:t>
      </w:r>
      <w:r w:rsidR="001F2DE4">
        <w:rPr>
          <w:sz w:val="22"/>
          <w:szCs w:val="22"/>
        </w:rPr>
        <w:t>s</w:t>
      </w:r>
      <w:r>
        <w:rPr>
          <w:sz w:val="22"/>
          <w:szCs w:val="22"/>
        </w:rPr>
        <w:t xml:space="preserve"> </w:t>
      </w:r>
      <w:r w:rsidR="00695CD2">
        <w:rPr>
          <w:sz w:val="22"/>
          <w:szCs w:val="22"/>
        </w:rPr>
        <w:t>(</w:t>
      </w:r>
      <w:r>
        <w:rPr>
          <w:sz w:val="22"/>
          <w:szCs w:val="22"/>
        </w:rPr>
        <w:t>und damit auch die Einkunftsquelle für Unterhaltszahlungen im Fall der Scheidung</w:t>
      </w:r>
      <w:r w:rsidR="00695CD2">
        <w:rPr>
          <w:sz w:val="22"/>
          <w:szCs w:val="22"/>
        </w:rPr>
        <w:t>!)</w:t>
      </w:r>
      <w:r>
        <w:rPr>
          <w:sz w:val="22"/>
          <w:szCs w:val="22"/>
        </w:rPr>
        <w:t xml:space="preserve"> gefährdet. </w:t>
      </w:r>
    </w:p>
    <w:p w:rsidR="006A2D0F" w:rsidRDefault="006A2D0F" w:rsidP="005A4D3C">
      <w:pPr>
        <w:spacing w:line="360" w:lineRule="auto"/>
        <w:jc w:val="both"/>
        <w:rPr>
          <w:sz w:val="22"/>
          <w:szCs w:val="22"/>
        </w:rPr>
      </w:pPr>
    </w:p>
    <w:p w:rsidR="006A2D0F" w:rsidRDefault="006A2D0F" w:rsidP="005A4D3C">
      <w:pPr>
        <w:spacing w:line="360" w:lineRule="auto"/>
        <w:jc w:val="both"/>
        <w:rPr>
          <w:sz w:val="22"/>
          <w:szCs w:val="22"/>
        </w:rPr>
      </w:pPr>
      <w:r>
        <w:rPr>
          <w:sz w:val="22"/>
          <w:szCs w:val="22"/>
        </w:rPr>
        <w:t>Zur Vorbereitung entsprechender Vereinbarungen empfiehlt es sich, sich bei einem Fachanwalt für Familienrecht Rat einzuholen.</w:t>
      </w:r>
    </w:p>
    <w:p w:rsidR="00695CD2" w:rsidRDefault="00695CD2" w:rsidP="005A4D3C">
      <w:pPr>
        <w:spacing w:line="360" w:lineRule="auto"/>
        <w:rPr>
          <w:sz w:val="22"/>
          <w:szCs w:val="22"/>
        </w:rPr>
      </w:pPr>
    </w:p>
    <w:p w:rsidR="005A4D3C" w:rsidRDefault="005A4D3C" w:rsidP="005A4D3C">
      <w:pPr>
        <w:spacing w:line="360" w:lineRule="auto"/>
        <w:rPr>
          <w:sz w:val="22"/>
          <w:szCs w:val="22"/>
        </w:rPr>
      </w:pPr>
      <w:bookmarkStart w:id="0" w:name="_GoBack"/>
      <w:bookmarkEnd w:id="0"/>
    </w:p>
    <w:p w:rsidR="005A4D3C" w:rsidRPr="005449A4" w:rsidRDefault="005A4D3C" w:rsidP="005A4D3C">
      <w:pPr>
        <w:rPr>
          <w:bCs/>
          <w:sz w:val="20"/>
          <w:szCs w:val="20"/>
        </w:rPr>
      </w:pPr>
      <w:r w:rsidRPr="005449A4">
        <w:rPr>
          <w:sz w:val="20"/>
          <w:szCs w:val="20"/>
        </w:rPr>
        <w:t xml:space="preserve">Der Autor ist Mitglied der DANSEF </w:t>
      </w:r>
      <w:r w:rsidRPr="005449A4">
        <w:rPr>
          <w:bCs/>
          <w:sz w:val="20"/>
          <w:szCs w:val="20"/>
        </w:rPr>
        <w:t>Deutsche Anwalts-, Notar- und Steuerberatervereinigung für Erb- und Familienrecht e. V.</w:t>
      </w:r>
    </w:p>
    <w:p w:rsidR="005A4D3C" w:rsidRPr="005449A4" w:rsidRDefault="005A4D3C" w:rsidP="005A4D3C">
      <w:pPr>
        <w:rPr>
          <w:sz w:val="20"/>
          <w:szCs w:val="20"/>
        </w:rPr>
      </w:pPr>
    </w:p>
    <w:p w:rsidR="005A4D3C" w:rsidRPr="005449A4" w:rsidRDefault="005A4D3C" w:rsidP="005A4D3C">
      <w:pPr>
        <w:rPr>
          <w:sz w:val="20"/>
          <w:szCs w:val="20"/>
        </w:rPr>
      </w:pPr>
      <w:r w:rsidRPr="005449A4">
        <w:rPr>
          <w:sz w:val="20"/>
          <w:szCs w:val="20"/>
        </w:rPr>
        <w:t>Für Rückfragen steht Ihnen der Autor gerne zur Verfügung</w:t>
      </w:r>
    </w:p>
    <w:p w:rsidR="005A4D3C" w:rsidRPr="005449A4" w:rsidRDefault="005A4D3C" w:rsidP="005A4D3C"/>
    <w:p w:rsidR="005A4D3C" w:rsidRPr="005449A4" w:rsidRDefault="005A4D3C" w:rsidP="005A4D3C">
      <w:pPr>
        <w:rPr>
          <w:sz w:val="20"/>
        </w:rPr>
      </w:pPr>
      <w:r w:rsidRPr="005449A4">
        <w:rPr>
          <w:color w:val="000000"/>
          <w:sz w:val="20"/>
        </w:rPr>
        <w:t xml:space="preserve">Martin </w:t>
      </w:r>
      <w:proofErr w:type="spellStart"/>
      <w:r w:rsidRPr="005449A4">
        <w:rPr>
          <w:color w:val="000000"/>
          <w:sz w:val="20"/>
        </w:rPr>
        <w:t>Weispfenning</w:t>
      </w:r>
      <w:proofErr w:type="spellEnd"/>
    </w:p>
    <w:p w:rsidR="005A4D3C" w:rsidRPr="005449A4" w:rsidRDefault="005A4D3C" w:rsidP="005A4D3C">
      <w:pPr>
        <w:rPr>
          <w:color w:val="000000"/>
          <w:sz w:val="20"/>
        </w:rPr>
      </w:pPr>
      <w:r w:rsidRPr="005449A4">
        <w:rPr>
          <w:color w:val="000000"/>
          <w:sz w:val="20"/>
        </w:rPr>
        <w:t>Rechtsanwalt</w:t>
      </w:r>
    </w:p>
    <w:p w:rsidR="005A4D3C" w:rsidRPr="005449A4" w:rsidRDefault="005A4D3C" w:rsidP="005A4D3C">
      <w:pPr>
        <w:rPr>
          <w:sz w:val="20"/>
        </w:rPr>
      </w:pPr>
      <w:r w:rsidRPr="005449A4">
        <w:rPr>
          <w:sz w:val="20"/>
        </w:rPr>
        <w:t>Fachanwalt für Familienrecht</w:t>
      </w:r>
    </w:p>
    <w:p w:rsidR="005A4D3C" w:rsidRPr="005449A4" w:rsidRDefault="005A4D3C" w:rsidP="005A4D3C">
      <w:pPr>
        <w:rPr>
          <w:sz w:val="20"/>
        </w:rPr>
      </w:pPr>
      <w:proofErr w:type="spellStart"/>
      <w:r w:rsidRPr="005449A4">
        <w:rPr>
          <w:sz w:val="20"/>
        </w:rPr>
        <w:t>Weisgerber</w:t>
      </w:r>
      <w:proofErr w:type="spellEnd"/>
      <w:r w:rsidRPr="005449A4">
        <w:rPr>
          <w:color w:val="000000"/>
          <w:sz w:val="20"/>
        </w:rPr>
        <w:t xml:space="preserve"> </w:t>
      </w:r>
      <w:proofErr w:type="spellStart"/>
      <w:r w:rsidRPr="005449A4">
        <w:rPr>
          <w:color w:val="000000"/>
          <w:sz w:val="20"/>
        </w:rPr>
        <w:t>Weispfenning</w:t>
      </w:r>
      <w:proofErr w:type="spellEnd"/>
      <w:r w:rsidRPr="005449A4">
        <w:rPr>
          <w:color w:val="000000"/>
          <w:sz w:val="20"/>
        </w:rPr>
        <w:t xml:space="preserve"> </w:t>
      </w:r>
      <w:r w:rsidRPr="005449A4">
        <w:rPr>
          <w:sz w:val="20"/>
        </w:rPr>
        <w:t xml:space="preserve">Roth </w:t>
      </w:r>
      <w:proofErr w:type="spellStart"/>
      <w:r w:rsidRPr="005449A4">
        <w:rPr>
          <w:color w:val="000000"/>
          <w:sz w:val="20"/>
        </w:rPr>
        <w:t>Ehbauer</w:t>
      </w:r>
      <w:proofErr w:type="spellEnd"/>
    </w:p>
    <w:p w:rsidR="005A4D3C" w:rsidRPr="005449A4" w:rsidRDefault="005A4D3C" w:rsidP="005A4D3C">
      <w:pPr>
        <w:rPr>
          <w:sz w:val="20"/>
        </w:rPr>
      </w:pPr>
      <w:r w:rsidRPr="005449A4">
        <w:rPr>
          <w:color w:val="000000"/>
          <w:sz w:val="20"/>
        </w:rPr>
        <w:t>Rechtsanwälte Partnerschaft</w:t>
      </w:r>
    </w:p>
    <w:p w:rsidR="005A4D3C" w:rsidRPr="005449A4" w:rsidRDefault="005A4D3C" w:rsidP="005A4D3C">
      <w:pPr>
        <w:rPr>
          <w:sz w:val="20"/>
        </w:rPr>
      </w:pPr>
      <w:proofErr w:type="spellStart"/>
      <w:r w:rsidRPr="005449A4">
        <w:rPr>
          <w:color w:val="000000"/>
          <w:sz w:val="20"/>
        </w:rPr>
        <w:t>Campestraße</w:t>
      </w:r>
      <w:proofErr w:type="spellEnd"/>
      <w:r w:rsidRPr="005449A4">
        <w:rPr>
          <w:color w:val="000000"/>
          <w:sz w:val="20"/>
        </w:rPr>
        <w:t xml:space="preserve"> 10</w:t>
      </w:r>
    </w:p>
    <w:p w:rsidR="005A4D3C" w:rsidRPr="005449A4" w:rsidRDefault="005A4D3C" w:rsidP="005A4D3C">
      <w:pPr>
        <w:rPr>
          <w:sz w:val="20"/>
        </w:rPr>
      </w:pPr>
      <w:r w:rsidRPr="005449A4">
        <w:rPr>
          <w:color w:val="000000"/>
          <w:sz w:val="20"/>
        </w:rPr>
        <w:t>90419 Nürnberg</w:t>
      </w:r>
    </w:p>
    <w:p w:rsidR="005A4D3C" w:rsidRPr="005449A4" w:rsidRDefault="005A4D3C" w:rsidP="005A4D3C">
      <w:pPr>
        <w:rPr>
          <w:sz w:val="20"/>
        </w:rPr>
      </w:pPr>
      <w:r w:rsidRPr="005449A4">
        <w:rPr>
          <w:color w:val="000000"/>
          <w:sz w:val="20"/>
        </w:rPr>
        <w:t>Tel. 0911 395797-0</w:t>
      </w:r>
      <w:r w:rsidRPr="005449A4">
        <w:rPr>
          <w:color w:val="000000"/>
          <w:sz w:val="20"/>
        </w:rPr>
        <w:tab/>
      </w:r>
      <w:r w:rsidRPr="005449A4">
        <w:rPr>
          <w:color w:val="000000"/>
          <w:sz w:val="20"/>
        </w:rPr>
        <w:tab/>
      </w:r>
      <w:r w:rsidRPr="005449A4">
        <w:rPr>
          <w:color w:val="000000"/>
          <w:sz w:val="20"/>
        </w:rPr>
        <w:tab/>
        <w:t xml:space="preserve">Fax 0911 395797-77 </w:t>
      </w:r>
    </w:p>
    <w:p w:rsidR="005A4D3C" w:rsidRPr="005449A4" w:rsidRDefault="005A4D3C" w:rsidP="005A4D3C">
      <w:pPr>
        <w:rPr>
          <w:sz w:val="20"/>
        </w:rPr>
      </w:pPr>
      <w:r w:rsidRPr="005449A4">
        <w:rPr>
          <w:sz w:val="20"/>
        </w:rPr>
        <w:t xml:space="preserve">E-Mail: </w:t>
      </w:r>
      <w:hyperlink r:id="rId8" w:history="1">
        <w:r w:rsidRPr="005449A4">
          <w:rPr>
            <w:color w:val="0000FF"/>
            <w:sz w:val="20"/>
            <w:u w:val="single"/>
          </w:rPr>
          <w:t>www.weisgerber1928.de</w:t>
        </w:r>
      </w:hyperlink>
      <w:r w:rsidRPr="005449A4">
        <w:rPr>
          <w:color w:val="0000FF"/>
          <w:sz w:val="20"/>
        </w:rPr>
        <w:tab/>
      </w:r>
      <w:r w:rsidRPr="005449A4">
        <w:rPr>
          <w:color w:val="0000FF"/>
          <w:sz w:val="20"/>
          <w:u w:val="single"/>
        </w:rPr>
        <w:t>http://www.weisgerber1928.de/</w:t>
      </w:r>
    </w:p>
    <w:p w:rsidR="005A4D3C" w:rsidRDefault="005A4D3C" w:rsidP="005A4D3C"/>
    <w:sectPr w:rsidR="005A4D3C">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D3C" w:rsidRDefault="005A4D3C" w:rsidP="005A4D3C">
      <w:r>
        <w:separator/>
      </w:r>
    </w:p>
  </w:endnote>
  <w:endnote w:type="continuationSeparator" w:id="0">
    <w:p w:rsidR="005A4D3C" w:rsidRDefault="005A4D3C" w:rsidP="005A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D3C" w:rsidRDefault="005A4D3C" w:rsidP="005A4D3C">
      <w:r>
        <w:separator/>
      </w:r>
    </w:p>
  </w:footnote>
  <w:footnote w:type="continuationSeparator" w:id="0">
    <w:p w:rsidR="005A4D3C" w:rsidRDefault="005A4D3C" w:rsidP="005A4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D3C" w:rsidRPr="00657918" w:rsidRDefault="005A4D3C" w:rsidP="005A4D3C">
    <w:pPr>
      <w:tabs>
        <w:tab w:val="center" w:pos="4536"/>
        <w:tab w:val="right" w:pos="9072"/>
      </w:tabs>
      <w:jc w:val="center"/>
      <w:rPr>
        <w:sz w:val="28"/>
        <w:szCs w:val="28"/>
      </w:rPr>
    </w:pPr>
    <w:r>
      <w:rPr>
        <w:sz w:val="28"/>
        <w:szCs w:val="28"/>
      </w:rPr>
      <w:t>R</w:t>
    </w:r>
    <w:r w:rsidRPr="00657918">
      <w:rPr>
        <w:sz w:val="28"/>
        <w:szCs w:val="28"/>
      </w:rPr>
      <w:t>echtsdepesche 20</w:t>
    </w:r>
    <w:r>
      <w:rPr>
        <w:sz w:val="28"/>
        <w:szCs w:val="28"/>
      </w:rPr>
      <w:t>20/2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kte_Abschriften" w:val="0"/>
    <w:docVar w:name="Akte_RegNr" w:val="16/000237 "/>
    <w:docVar w:name="Akte_Sache" w:val="Martin Weispfenning "/>
    <w:docVar w:name="Akte_SB_NameGruss" w:val="Martin Weispfenning"/>
    <w:docVar w:name="Akte_SB_NameGruss_Geschlecht" w:val="m"/>
  </w:docVars>
  <w:rsids>
    <w:rsidRoot w:val="001658A7"/>
    <w:rsid w:val="001658A7"/>
    <w:rsid w:val="001F2DE4"/>
    <w:rsid w:val="002E160D"/>
    <w:rsid w:val="003507FB"/>
    <w:rsid w:val="00530707"/>
    <w:rsid w:val="005A4D3C"/>
    <w:rsid w:val="00695CD2"/>
    <w:rsid w:val="006A2D0F"/>
    <w:rsid w:val="008246B5"/>
    <w:rsid w:val="008F0935"/>
    <w:rsid w:val="00C8514C"/>
    <w:rsid w:val="00CC237C"/>
    <w:rsid w:val="00EF2ADD"/>
    <w:rsid w:val="00F16C49"/>
    <w:rsid w:val="00F42C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docId w15:val="{597E3649-506D-4C9A-97B8-151C8023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4"/>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C237C"/>
    <w:rPr>
      <w:rFonts w:ascii="Segoe UI" w:hAnsi="Segoe UI" w:cs="Segoe UI"/>
      <w:sz w:val="18"/>
      <w:szCs w:val="18"/>
    </w:rPr>
  </w:style>
  <w:style w:type="character" w:customStyle="1" w:styleId="SprechblasentextZchn">
    <w:name w:val="Sprechblasentext Zchn"/>
    <w:link w:val="Sprechblasentext"/>
    <w:uiPriority w:val="99"/>
    <w:semiHidden/>
    <w:rsid w:val="00CC237C"/>
    <w:rPr>
      <w:rFonts w:ascii="Segoe UI" w:hAnsi="Segoe UI" w:cs="Segoe UI"/>
      <w:sz w:val="18"/>
      <w:szCs w:val="18"/>
    </w:rPr>
  </w:style>
  <w:style w:type="paragraph" w:styleId="Kopfzeile">
    <w:name w:val="header"/>
    <w:basedOn w:val="Standard"/>
    <w:link w:val="KopfzeileZchn"/>
    <w:uiPriority w:val="99"/>
    <w:unhideWhenUsed/>
    <w:rsid w:val="005A4D3C"/>
    <w:pPr>
      <w:tabs>
        <w:tab w:val="center" w:pos="4536"/>
        <w:tab w:val="right" w:pos="9072"/>
      </w:tabs>
    </w:pPr>
  </w:style>
  <w:style w:type="character" w:customStyle="1" w:styleId="KopfzeileZchn">
    <w:name w:val="Kopfzeile Zchn"/>
    <w:basedOn w:val="Absatz-Standardschriftart"/>
    <w:link w:val="Kopfzeile"/>
    <w:uiPriority w:val="99"/>
    <w:rsid w:val="005A4D3C"/>
    <w:rPr>
      <w:rFonts w:ascii="Arial" w:hAnsi="Arial" w:cs="Arial"/>
      <w:sz w:val="24"/>
      <w:szCs w:val="24"/>
    </w:rPr>
  </w:style>
  <w:style w:type="paragraph" w:styleId="Fuzeile">
    <w:name w:val="footer"/>
    <w:basedOn w:val="Standard"/>
    <w:link w:val="FuzeileZchn"/>
    <w:uiPriority w:val="99"/>
    <w:unhideWhenUsed/>
    <w:rsid w:val="005A4D3C"/>
    <w:pPr>
      <w:tabs>
        <w:tab w:val="center" w:pos="4536"/>
        <w:tab w:val="right" w:pos="9072"/>
      </w:tabs>
    </w:pPr>
  </w:style>
  <w:style w:type="character" w:customStyle="1" w:styleId="FuzeileZchn">
    <w:name w:val="Fußzeile Zchn"/>
    <w:basedOn w:val="Absatz-Standardschriftart"/>
    <w:link w:val="Fuzeile"/>
    <w:uiPriority w:val="99"/>
    <w:rsid w:val="005A4D3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isgerber1928.de/" TargetMode="External"/><Relationship Id="rId3" Type="http://schemas.openxmlformats.org/officeDocument/2006/relationships/webSettings" Target="webSettings.xml"/><Relationship Id="rId7" Type="http://schemas.openxmlformats.org/officeDocument/2006/relationships/image" Target="cid:image001.png@01D577B0.8F465BC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2711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RA-Consulting</Company>
  <LinksUpToDate>false</LinksUpToDate>
  <CharactersWithSpaces>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Weispfenning</dc:creator>
  <cp:keywords/>
  <dc:description/>
  <cp:lastModifiedBy>Michelle Hawkins</cp:lastModifiedBy>
  <cp:revision>3</cp:revision>
  <cp:lastPrinted>2020-06-29T12:20:00Z</cp:lastPrinted>
  <dcterms:created xsi:type="dcterms:W3CDTF">2020-06-29T13:49:00Z</dcterms:created>
  <dcterms:modified xsi:type="dcterms:W3CDTF">2020-06-29T13:53:00Z</dcterms:modified>
</cp:coreProperties>
</file>